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57" w:before="200" w:line="480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POLITYKA OTWARTOŚCI </w:t>
        <w:br w:type="textWrapping"/>
        <w:t xml:space="preserve">INSTYTUTU BADAŃ LITERACKICH POLSKIEJ AKADEMII NAUK</w:t>
      </w:r>
    </w:p>
    <w:p w:rsidR="00000000" w:rsidDel="00000000" w:rsidP="00000000" w:rsidRDefault="00000000" w:rsidRPr="00000000" w14:paraId="00000002">
      <w:pPr>
        <w:pageBreakBefore w:val="0"/>
        <w:spacing w:after="57" w:before="200" w:line="480" w:lineRule="auto"/>
        <w:ind w:firstLine="720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(wersja 12.01.202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1)</w:t>
      </w:r>
    </w:p>
    <w:p w:rsidR="00000000" w:rsidDel="00000000" w:rsidP="00000000" w:rsidRDefault="00000000" w:rsidRPr="00000000" w14:paraId="00000003">
      <w:pPr>
        <w:pageBreakBefore w:val="0"/>
        <w:spacing w:after="57" w:before="200" w:line="480" w:lineRule="auto"/>
        <w:ind w:firstLine="7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Opracowanie: Mateusz Franczak, Marta Błaszczyńska, Maciej Maryl</w:t>
      </w:r>
    </w:p>
    <w:p w:rsidR="00000000" w:rsidDel="00000000" w:rsidP="00000000" w:rsidRDefault="00000000" w:rsidRPr="00000000" w14:paraId="00000004">
      <w:pPr>
        <w:pageBreakBefore w:val="0"/>
        <w:spacing w:after="57" w:before="200" w:line="480" w:lineRule="auto"/>
        <w:ind w:firstLine="720"/>
        <w:jc w:val="both"/>
        <w:rPr>
          <w:rFonts w:ascii="Times New Roman" w:cs="Times New Roman" w:eastAsia="Times New Roman" w:hAnsi="Times New Roman"/>
          <w:strike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Chcąc zapewnić wszystkim dostęp do wiedzy bez ograniczeń, które nie są konieczne, dążąc do uniknięcia powtarzania już wykonanej pracy i kierując się zasadami transparentności, wierząc, że wolny dostęp do wyników badań umożliwi powszechny postęp nauki, Instytut Badań Literackich Polskiej Akademii Nauk (dalej: Instytut) wprowadza niniejszym Politykę Otwartego Dostępu Instytutu Badań Literackich Polskiej Akademii Nauk w odniesieniu do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publikacji naukowych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danych badawczych wydanych w Instytucie (dalej: Polityka).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57" w:before="57" w:line="48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Wdrożenie zasad Polityki Otwartości umożliwi Instytutowi oraz adresatom jego działalności szerokie i efektywne korzystanie z zasobów Instytutu oraz prac finansowanych z jego środków. Przyjęcie regulacji dotyczących publikowania utworów w otwartym dostępie oraz określonych standardów technicznych ich udostępniania zwiększą skuteczność działań Instytutu oraz będą służyć indywidualnym i instytucjonalnym odbiorcom tej działalności.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after="57" w:before="200" w:line="48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Instytut inicjuje działania mające na celu rozpowszechnienie otwartego dostępu do wiedzy oraz do wyników badań prowadzonych przez pracowników (danych badawczych i publikacji) na poziomie narodowym i międzynarodowym. Należy także do międzynarodowego konsorcjum OPERAS (Open Access in the Scholarly Research Area through Scholarly Communication) działającego na rzecz otwartej nauki. Ponadto, podjęte działania wpisują się w wytyczne z zakresu otwartej nauki formułowane na poziomie krajowym, europejskim i międzynarodowym. </w:t>
      </w:r>
    </w:p>
    <w:p w:rsidR="00000000" w:rsidDel="00000000" w:rsidP="00000000" w:rsidRDefault="00000000" w:rsidRPr="00000000" w14:paraId="00000007">
      <w:pPr>
        <w:pageBreakBefore w:val="0"/>
        <w:spacing w:after="57" w:before="200" w:line="48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before="200" w:line="48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§1. Postanowienia ogólne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5"/>
        </w:numPr>
        <w:spacing w:before="200"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Polityka otwartości (dalej: Polityka) reguluje zagadnienia związane z publikacjami naukowymi i danymi badawczymi w Instytucie.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5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Wytyczne i obowiązki wynikające z Polityki dotyczą wszystkich pracowników Instytutu zatrudnionych w ramach stosunku pracy  i doktorantów.  Zaleca się, aby  osoby współpracujące naukowo z Instytutem w innych formach, w tym na zasadzie wolontariatu, oraz pracownicy emerytowani afiliujący swoje prace w Instytucie stosowali się do niniejszych zasad Polityki  Instytutu.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5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Polityka nie narusza praw i obowiązków wynikających z “Regulaminu zarządzania prawami autorskimi i prawami pokrewnymi, zarządzania prawami własności przemysłowej oraz zasad komercjalizacji wyników badań naukowych i prac rozwojowych”, załącznika do uchwały z dnia 24 marca 2015 roku Rady Naukowej Instytutu Badań Literackich PAN, a w szczególności zobowiązania Autorek i Autorów do rozpowszechniania utworów naukowych w sposób, który nie doprowadzi do pozbawienia ochrony prawnej innych rezultató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twórczych.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5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Polityka nie narusza obowiązków wynikających z przepisów kancelaryjno-archiwalnych.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5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Polityka uwzględnia obowiązki pracowników naukowych oraz ich pracodawców, określone w opublikowanej przez Komisję Europejską w 2005 roku “Europejskiej Karcie Naukowca”, która powstała, by wesprzeć rozwój europejskich badań naukowych oraz zapewnić lepszą jakość życia naukowcom pracującym w Unii Europejskiej.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5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Pojęcia należy rozumieć wedle następujących definicji:</w:t>
      </w:r>
    </w:p>
    <w:p w:rsidR="00000000" w:rsidDel="00000000" w:rsidP="00000000" w:rsidRDefault="00000000" w:rsidRPr="00000000" w14:paraId="0000000F">
      <w:pPr>
        <w:pageBreakBefore w:val="0"/>
        <w:spacing w:before="200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 Dobro intelektualne - utwory będące przedmiotem prawa autorskiego i przedmioty praw pokrewnych, bazy danych oraz przedmioty prawa własności przemysłowej i know-how;</w:t>
      </w:r>
    </w:p>
    <w:p w:rsidR="00000000" w:rsidDel="00000000" w:rsidP="00000000" w:rsidRDefault="00000000" w:rsidRPr="00000000" w14:paraId="00000010">
      <w:pPr>
        <w:pageBreakBefore w:val="0"/>
        <w:spacing w:before="200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 Publikacje - dobra intelektualne wymienione poniżej:</w:t>
      </w:r>
    </w:p>
    <w:p w:rsidR="00000000" w:rsidDel="00000000" w:rsidP="00000000" w:rsidRDefault="00000000" w:rsidRPr="00000000" w14:paraId="00000011">
      <w:pPr>
        <w:pageBreakBefore w:val="0"/>
        <w:spacing w:before="200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i. publikacje w czasopismach naukowych;</w:t>
      </w:r>
    </w:p>
    <w:p w:rsidR="00000000" w:rsidDel="00000000" w:rsidP="00000000" w:rsidRDefault="00000000" w:rsidRPr="00000000" w14:paraId="00000012">
      <w:pPr>
        <w:pageBreakBefore w:val="0"/>
        <w:spacing w:before="200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ii. publikacje w recenzowanych materiałach z konferencji;</w:t>
      </w:r>
    </w:p>
    <w:p w:rsidR="00000000" w:rsidDel="00000000" w:rsidP="00000000" w:rsidRDefault="00000000" w:rsidRPr="00000000" w14:paraId="00000013">
      <w:pPr>
        <w:pageBreakBefore w:val="0"/>
        <w:spacing w:before="200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iii. monografie oraz rozdziały w książkach zbiorowych;</w:t>
      </w:r>
    </w:p>
    <w:p w:rsidR="00000000" w:rsidDel="00000000" w:rsidP="00000000" w:rsidRDefault="00000000" w:rsidRPr="00000000" w14:paraId="00000014">
      <w:pPr>
        <w:pageBreakBefore w:val="0"/>
        <w:spacing w:before="200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iv. rozprawy doktorskie;</w:t>
      </w:r>
    </w:p>
    <w:p w:rsidR="00000000" w:rsidDel="00000000" w:rsidP="00000000" w:rsidRDefault="00000000" w:rsidRPr="00000000" w14:paraId="00000015">
      <w:pPr>
        <w:pageBreakBefore w:val="0"/>
        <w:spacing w:before="200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szara literatura, tj. preprinty - maszynopisy publikacji z punktów i.-iii. w wersji złożonej wydawcy, prezentacje z konferencji, raporty;</w:t>
      </w:r>
    </w:p>
    <w:p w:rsidR="00000000" w:rsidDel="00000000" w:rsidP="00000000" w:rsidRDefault="00000000" w:rsidRPr="00000000" w14:paraId="00000016">
      <w:pPr>
        <w:pageBreakBefore w:val="0"/>
        <w:spacing w:before="200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c)  Dane badawcze - dane zebrane lub wytworzone jako materiał do analizy w ramach badań naukowych prowadzonych w Instytucie.</w:t>
      </w:r>
    </w:p>
    <w:p w:rsidR="00000000" w:rsidDel="00000000" w:rsidP="00000000" w:rsidRDefault="00000000" w:rsidRPr="00000000" w14:paraId="00000017">
      <w:pPr>
        <w:pageBreakBefore w:val="0"/>
        <w:spacing w:before="200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d) Numer DOI -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Digital Object Identifier,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identyfikator nadawany publikacji cyfrowej, przypisany do niej na stałe.</w:t>
      </w:r>
    </w:p>
    <w:p w:rsidR="00000000" w:rsidDel="00000000" w:rsidP="00000000" w:rsidRDefault="00000000" w:rsidRPr="00000000" w14:paraId="00000018">
      <w:pPr>
        <w:pageBreakBefore w:val="0"/>
        <w:spacing w:before="200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e) Metadane - dane o danych, zawierające szczegółowe informacje o publikacjach wymienionych w punktach b-c wyżej, czyli wg. Rozporządzenia MSWiA z dnia 30 X 2006 r., “zestaw logicznie powiązanych z dokumentem elektronicznym usystematyzowanych informacji opisujących ten dokument, ułatwiających jego wyszukiwanie, kontrolę, zrozumienie i długotrwałe przechowanie oraz zarządzanie”</w:t>
      </w:r>
    </w:p>
    <w:p w:rsidR="00000000" w:rsidDel="00000000" w:rsidP="00000000" w:rsidRDefault="00000000" w:rsidRPr="00000000" w14:paraId="00000019">
      <w:pPr>
        <w:pageBreakBefore w:val="0"/>
        <w:spacing w:before="200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f) Otwarte czasopisma i książki - czasopisma i książki udostępniane w internecie bez dodatkowych opłat dla czytelników. </w:t>
      </w:r>
    </w:p>
    <w:p w:rsidR="00000000" w:rsidDel="00000000" w:rsidP="00000000" w:rsidRDefault="00000000" w:rsidRPr="00000000" w14:paraId="0000001A">
      <w:pPr>
        <w:pageBreakBefore w:val="0"/>
        <w:spacing w:before="200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g) „Złota droga” – publikowanie w otwartych czasopismach i książkach naukowych.</w:t>
      </w:r>
    </w:p>
    <w:p w:rsidR="00000000" w:rsidDel="00000000" w:rsidP="00000000" w:rsidRDefault="00000000" w:rsidRPr="00000000" w14:paraId="0000001B">
      <w:pPr>
        <w:pageBreakBefore w:val="0"/>
        <w:spacing w:before="200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h) „Zielona droga” – deponowanie efektów prac w repozytorium.</w:t>
      </w:r>
    </w:p>
    <w:p w:rsidR="00000000" w:rsidDel="00000000" w:rsidP="00000000" w:rsidRDefault="00000000" w:rsidRPr="00000000" w14:paraId="0000001C">
      <w:pPr>
        <w:pageBreakBefore w:val="0"/>
        <w:spacing w:before="200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i) embargo 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okres, w którym publikacja naukowa nie jest powszechnie dostępna ze względu na ograniczenia nałożone przez wydawcę lub dostawcę treści. Okres embargo ustalają wydawcy publikacji naukowych i to od ich decyzji zależy czas jego trwania. Termin embargo bywa używany zamiennie z terminem ,,okres karencji".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5"/>
        </w:numPr>
        <w:spacing w:before="200"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Podmioty i ich role należy rozumieć wedle następujących definicji:</w:t>
        <w:br w:type="textWrapping"/>
        <w:t xml:space="preserve">a) Autor(ka) - osoba, która stworzyła dobro intelektualne;</w:t>
        <w:br w:type="textWrapping"/>
        <w:t xml:space="preserve">b) Biblioteka IBL PAN (dalej: Biblioteka) - Biblioteka Instytutu Badań Literackich Polskiej Akademii Nauk, będąca instytutowym operatorem Repozytorium Cyfrowego Instytutów Naukowych RCIN.</w:t>
        <w:br w:type="textWrapping"/>
        <w:t xml:space="preserve">c)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Wydawnictwo IBL PAN (dalej: Wydawnictwo) - podmiot odpowiedzialny za wydawanie Publikacji afiliowanych przy IBL PAN oraz zgłaszanie ich do Repozytorium.</w:t>
        <w:br w:type="textWrapping"/>
        <w:t xml:space="preserve">d) Czasopisma IBL PAN (dalej: Czasopisma) - czasopisma afiliowane przy IBL PAN, wydawane lub współwydawane przez IBL PAN;</w:t>
        <w:br w:type="textWrapping"/>
        <w:t xml:space="preserve">e) Repozytorium Cyfrowe Instytutów Naukowych RCIN (dalej: Repozytorium) - narzędzie informatyczne służące do deponowania, przechowywania i udostępniania w Internecie bieżącego dorobku naukowego Instytutu Badań Literackich Polskiej Akademii Nauki oraz innych instytutów naukowych.</w:t>
      </w:r>
    </w:p>
    <w:p w:rsidR="00000000" w:rsidDel="00000000" w:rsidP="00000000" w:rsidRDefault="00000000" w:rsidRPr="00000000" w14:paraId="0000001E">
      <w:pPr>
        <w:pageBreakBefore w:val="0"/>
        <w:spacing w:before="200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f) Archiwum IBL PAN (dalej: Archiwum) - Archiwum Instytutu Badań Literackich Polskiej Akademii Nauk, przechowujące dokumentację powstałą w wyniku działalności Instytutu Badań Literackich PAN, w tym m.in. materiały dotyczące badań prowadzonych przez pracowników naukowych.</w:t>
        <w:br w:type="textWrapping"/>
        <w:t xml:space="preserve">g) Centrum Humanistyki Cyfrowej IBL PAN (dalej: CHC) - pełni rolę ekspercką i koordynującą pomiędzy Autor(k)ami, Wydawnictwem, Czasopismami, Biblioteką i Repozytorium w sprawach związanych z realizacją Polityki oraz wspomagającą w procesie otwierania dostępu do publikacji i danych badawczych.</w:t>
        <w:br w:type="textWrapping"/>
        <w:t xml:space="preserve">h) Pełnomocniczka/Pełnomocnik ds. otwartej nauki (dalej: Pełnomocnik) - osoba zatrudniona w Instytucie, będąca członkiem zespołu CHC. Pełni rolę ekspercką oraz wspomagającą w procesie otwierania dostępu do publikacji i danych badawczych, informuje o Polityce, promuje wiedzę na temat praw i obowiązków pracowników Instytutu wynikających z Polityki, doradza w zakresie najlepszych praktyk zgodnych z Polityką, edukuje adresatów polityki w zakresie otwartego dostępu oraz monitoruje realizację Polityki.</w:t>
      </w:r>
    </w:p>
    <w:p w:rsidR="00000000" w:rsidDel="00000000" w:rsidP="00000000" w:rsidRDefault="00000000" w:rsidRPr="00000000" w14:paraId="0000001F">
      <w:pPr>
        <w:pageBreakBefore w:val="0"/>
        <w:spacing w:before="20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spacing w:before="20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§2. Otwarty dostęp do publikacji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4"/>
        </w:numPr>
        <w:spacing w:before="200"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Autorki i Autorzy IBL PAN oraz Wydawnictwo zapewniają otwarty dostęp do swoich publikacji, tak otwarty jak to możliwe, na tyle zamknięty, na ile to konieczne.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numPr>
          <w:ilvl w:val="1"/>
          <w:numId w:val="4"/>
        </w:numPr>
        <w:spacing w:line="48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Otwarty dostęp do publikacji pracowników i współpracowników Instytutu  oraz publikacji wydawanych przez Instytut zapewnia Repozytorium przy współpracy Wydawnictwa (zob. par 3.).</w:t>
      </w:r>
    </w:p>
    <w:p w:rsidR="00000000" w:rsidDel="00000000" w:rsidP="00000000" w:rsidRDefault="00000000" w:rsidRPr="00000000" w14:paraId="00000023">
      <w:pPr>
        <w:pageBreakBefore w:val="0"/>
        <w:numPr>
          <w:ilvl w:val="1"/>
          <w:numId w:val="4"/>
        </w:numPr>
        <w:spacing w:line="48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Autorki i Autorzy IBL PAN zobowiązani są deponować w Repozytorium swoje dzieła opublikowane przez czasopisma i wydawców zewnętrznych (zob. par. 3).</w:t>
      </w:r>
    </w:p>
    <w:p w:rsidR="00000000" w:rsidDel="00000000" w:rsidP="00000000" w:rsidRDefault="00000000" w:rsidRPr="00000000" w14:paraId="00000024">
      <w:pPr>
        <w:pageBreakBefore w:val="0"/>
        <w:numPr>
          <w:ilvl w:val="1"/>
          <w:numId w:val="4"/>
        </w:numPr>
        <w:spacing w:line="48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Wymagane jest deponowanie bieżących publikacji, ale zachęca się również do umieszczania w Repozytorium publikacji archiwalnych.</w:t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4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Autorki i Autorzy IBL PAN uzgadniają realizację zobowiązań ze współautor(k)ami publikacji (w przypadku utworów współautorskich), jak również z autor(k)ami oryginałów (w przypadku utworów stanowiących opracowanie, np. tłumaczenie już istniejących publikacji).</w:t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4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Publikacja w otwartym dostępie w Repozytorium ma pierwszeństwo względem publikacji w portalach społecznościowych przeznaczonych dla środowiska akademickiego, które regulują dostęp do publikacji i danych użytkowników na podstawie interesu komercyjnego. Zaleca się zamieszczanie artykułów w repozytorium instytucjonalnym lub innych otwartych repozytoriach prowadzonych przez podmioty akademickie i publiczne. Zaleca się, aby publikacje były udostępniane na licencjach niewyłącznych.</w:t>
      </w:r>
    </w:p>
    <w:p w:rsidR="00000000" w:rsidDel="00000000" w:rsidP="00000000" w:rsidRDefault="00000000" w:rsidRPr="00000000" w14:paraId="00000027">
      <w:pPr>
        <w:pageBreakBefore w:val="0"/>
        <w:numPr>
          <w:ilvl w:val="0"/>
          <w:numId w:val="4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Publiczne udostępnienie, o którym mowa w ust. 1 powyżej, zapewnia się niezwłocznie po opublikowaniu utworu. W wyjątkowych przypadkach Dyrekcja IBL PAN lub Dyrektor Wydawnictwa (w zakresie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§4 ust. 3, jeśli zostało nałożone embargo)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mogą wyrazić zgodę na czasowe lub trwałe ograniczenie otwartego dostępu do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publikacji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8">
      <w:pPr>
        <w:pageBreakBefore w:val="0"/>
        <w:spacing w:before="20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spacing w:before="20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§3.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Deponowanie dzieł przez Autorki i Autorów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numPr>
          <w:ilvl w:val="0"/>
          <w:numId w:val="4"/>
        </w:numPr>
        <w:spacing w:before="200"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Autorki i Autorzy IBL PAN zapewniają otwarty dostęp do swoich publikacji poprzez:</w:t>
      </w:r>
    </w:p>
    <w:p w:rsidR="00000000" w:rsidDel="00000000" w:rsidP="00000000" w:rsidRDefault="00000000" w:rsidRPr="00000000" w14:paraId="0000002B">
      <w:pPr>
        <w:pageBreakBefore w:val="0"/>
        <w:numPr>
          <w:ilvl w:val="0"/>
          <w:numId w:val="3"/>
        </w:numPr>
        <w:spacing w:line="48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Deponowanie publikacji w Repozytorium (“zielona droga”) albo publikowanie ich w czasopismach działających na zasadach otwartego dostępu (“złota droga”) tak, aby każdy mógł mieć do niej dostęp w miejscu i w czasie przez siebie wybranym oraz możliwość nieodpłatnego i nieograniczonego technicznie korzystania z niej wraz z udzieleniem stosownych licencji. </w:t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3"/>
        </w:numPr>
        <w:spacing w:line="48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Należy jasno informować, w jaki sposób można wykorzystać daną publikację. Licencje i prawa powinny być oznaczone w jasny i przejrzysty sposób. W przypadku wątpliwości należy skonsultować się z Pełnomocniczką lub Pełnomocnikiem ds. otwartej nauki (otwartanauka@ibl.waw.pl).</w:t>
      </w:r>
    </w:p>
    <w:p w:rsidR="00000000" w:rsidDel="00000000" w:rsidP="00000000" w:rsidRDefault="00000000" w:rsidRPr="00000000" w14:paraId="0000002D">
      <w:pPr>
        <w:pageBreakBefore w:val="0"/>
        <w:numPr>
          <w:ilvl w:val="0"/>
          <w:numId w:val="3"/>
        </w:numPr>
        <w:spacing w:line="48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Zaleca się, by Autorzy i Autorki podpisujący umowę wydawniczą z wydawcami zewnętrznymi oraz z czasopismami spoza Instytutu unikali przenoszenia na tychże wydawców autorskich praw majątkowych lub udzielania licencji wyłącznych, które uniemożliwiają późniejsze wykorzystanie publikacji. Jeśli nie ma takiej możliwości, rekomenduje się zamieszczenie w umowie klauzuli pozwalającej na umieszczenie artykułu lub jego preprintu w Repozytorium, najlepiej bez okresu embargo.</w:t>
      </w:r>
    </w:p>
    <w:p w:rsidR="00000000" w:rsidDel="00000000" w:rsidP="00000000" w:rsidRDefault="00000000" w:rsidRPr="00000000" w14:paraId="0000002E">
      <w:pPr>
        <w:pageBreakBefore w:val="0"/>
        <w:numPr>
          <w:ilvl w:val="0"/>
          <w:numId w:val="3"/>
        </w:numPr>
        <w:spacing w:line="48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Zaleca się używanie wolnych licencji Creative Commons Uznanie autorstwa wersja 3.0 lub późniejsza (CC-BY) lub Creative Commons Uznanie autorstwa - Na tych samych warunkach wersja 3.0 lub późniejsza (CC-BY-SA). Decyzja o udzieleniu licencji Creative Commons (CC) należy do  Autorek i Autorów. Polityka zaleca stosowanie licencji CC, ponieważ pozwalają one na szersze użytkowanie publikacji, w tym dalsze jej udostępnianie, wzrost wskaźnika cytowań Autorek i Autorów oraz zwiększenie wpływu prowadzonych badań. </w:t>
      </w:r>
    </w:p>
    <w:p w:rsidR="00000000" w:rsidDel="00000000" w:rsidP="00000000" w:rsidRDefault="00000000" w:rsidRPr="00000000" w14:paraId="0000002F">
      <w:pPr>
        <w:pageBreakBefore w:val="0"/>
        <w:spacing w:before="200" w:line="48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Autor lub Autorka chcący zdeponować w Repozytorium publikację, która została wydana poza Wydawnictwem IBL PAN, przesyła do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Biblioteki wypełnione zgłoszenie, stanowiące Załącznik nr 1, w celu uruchomienia procedury udostępnienia publikacji online. Szczegółowy opis deponowania publikacji w Repozytorium przez Autorki i Autorów znajduje się w Załączniku nr 2. </w:t>
      </w:r>
    </w:p>
    <w:p w:rsidR="00000000" w:rsidDel="00000000" w:rsidP="00000000" w:rsidRDefault="00000000" w:rsidRPr="00000000" w14:paraId="00000030">
      <w:pPr>
        <w:pageBreakBefore w:val="0"/>
        <w:spacing w:before="200" w:line="48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W sytuacjach niestandardowych konsultacji i pomocy udzielają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Pełnomocniczka lub Pełnomocnik ds. otwartej nauki.</w:t>
      </w:r>
    </w:p>
    <w:p w:rsidR="00000000" w:rsidDel="00000000" w:rsidP="00000000" w:rsidRDefault="00000000" w:rsidRPr="00000000" w14:paraId="00000031">
      <w:pPr>
        <w:pageBreakBefore w:val="0"/>
        <w:spacing w:before="200" w:line="480" w:lineRule="auto"/>
        <w:ind w:left="14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1"/>
        <w:pageBreakBefore w:val="0"/>
        <w:spacing w:before="200" w:line="48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§4. Publikacje Instytutu </w:t>
      </w:r>
    </w:p>
    <w:p w:rsidR="00000000" w:rsidDel="00000000" w:rsidP="00000000" w:rsidRDefault="00000000" w:rsidRPr="00000000" w14:paraId="00000033">
      <w:pPr>
        <w:pageBreakBefore w:val="0"/>
        <w:numPr>
          <w:ilvl w:val="0"/>
          <w:numId w:val="1"/>
        </w:numPr>
        <w:spacing w:before="200"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Artykuły ze wszystkich Czasopism afiliowanych przy IBL PAN są dostępne w otwartej wersji elektronicznej od chwili publikacji.</w:t>
      </w:r>
    </w:p>
    <w:p w:rsidR="00000000" w:rsidDel="00000000" w:rsidP="00000000" w:rsidRDefault="00000000" w:rsidRPr="00000000" w14:paraId="00000034">
      <w:pPr>
        <w:pageBreakBefore w:val="0"/>
        <w:numPr>
          <w:ilvl w:val="0"/>
          <w:numId w:val="1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Instytut będzie dążył do otwarcia dostępu do wszystkich publikacji wydawanych przez Wydawnictwo. Wydawnictwo we współpracy z Biblioteką starają się zapewnić jak najszerszy dostęp do publikacji afiliowanych przy Instytucie.</w:t>
      </w:r>
    </w:p>
    <w:p w:rsidR="00000000" w:rsidDel="00000000" w:rsidP="00000000" w:rsidRDefault="00000000" w:rsidRPr="00000000" w14:paraId="00000035">
      <w:pPr>
        <w:pageBreakBefore w:val="0"/>
        <w:numPr>
          <w:ilvl w:val="0"/>
          <w:numId w:val="1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Wydawnictwo zawiera z Autor(k)ami umowy, które umożliwią opublikowanie utworów w otwartym dostępie natychmiast po publikacji lub - w wyjątkowych okolicznościach - po upływie ustalonego okresu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Rekomenduje się jak najkrótsze embargo, nie dłuższe niż 12 miesięcy. Coraz częściej instytucje finansujące badania, jak Narodowe Centrum Nauki czy Komisja Europejska, wymagają publikacji otwartej bez embarga.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numPr>
          <w:ilvl w:val="0"/>
          <w:numId w:val="1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Wydawnictwo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przekazuje publikacje wraz z metadanymi do Repozytorium, a Biblioteka zobowiązuje się do udostępniania złożonych publikacji swoim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czytelnikom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3c4043"/>
          <w:sz w:val="24"/>
          <w:szCs w:val="24"/>
          <w:highlight w:val="white"/>
          <w:rtl w:val="0"/>
        </w:rPr>
        <w:t xml:space="preserve">Metadane dotyczące nowych publikacji powinny być przekazywane przez autorów w momencie zgłaszania swoich publikacji do wydania w Czasopismach i Wydawnictwie IBL PA</w:t>
      </w:r>
      <w:r w:rsidDel="00000000" w:rsidR="00000000" w:rsidRPr="00000000">
        <w:rPr>
          <w:rFonts w:ascii="Times New Roman" w:cs="Times New Roman" w:eastAsia="Times New Roman" w:hAnsi="Times New Roman"/>
          <w:color w:val="3c4043"/>
          <w:sz w:val="26"/>
          <w:szCs w:val="26"/>
          <w:highlight w:val="white"/>
          <w:rtl w:val="0"/>
        </w:rPr>
        <w:t xml:space="preserve">N.</w:t>
      </w:r>
      <w:r w:rsidDel="00000000" w:rsidR="00000000" w:rsidRPr="00000000">
        <w:rPr>
          <w:rFonts w:ascii="Times New Roman" w:cs="Times New Roman" w:eastAsia="Times New Roman" w:hAnsi="Times New Roman"/>
          <w:color w:val="3c4043"/>
          <w:sz w:val="23"/>
          <w:szCs w:val="23"/>
          <w:highlight w:val="white"/>
          <w:rtl w:val="0"/>
        </w:rPr>
        <w:t xml:space="preserve"> Publikacje będą wprowadzane do RCIN na podstawie metadanych przekazanych przez autorów, a następnie umieszczanych w katalogu bibliotecznym zgodnie z wersją papierową danego utworu.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Jeżeli publikacja cyfrowa nie może pojawić się w otwartym dostępie, dostęp do niej może być ograniczony do komputerów stacjonarnych znajdujących się w Bibliotece.</w:t>
      </w:r>
    </w:p>
    <w:p w:rsidR="00000000" w:rsidDel="00000000" w:rsidP="00000000" w:rsidRDefault="00000000" w:rsidRPr="00000000" w14:paraId="00000037">
      <w:pPr>
        <w:pageBreakBefore w:val="0"/>
        <w:numPr>
          <w:ilvl w:val="0"/>
          <w:numId w:val="1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Wydawnictwo deponuje publikacje w Repozytorium, przesyłając zgłoszenie, stanowiące Załącznik nr 1, w celu uruchomienia procedury udostępnienia publikacji online. </w:t>
      </w:r>
    </w:p>
    <w:p w:rsidR="00000000" w:rsidDel="00000000" w:rsidP="00000000" w:rsidRDefault="00000000" w:rsidRPr="00000000" w14:paraId="00000038">
      <w:pPr>
        <w:pageBreakBefore w:val="0"/>
        <w:numPr>
          <w:ilvl w:val="0"/>
          <w:numId w:val="1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Wydawnictwo oraz Czasopisma współpracują z platformami zapewniającymi otwarty dostęp do artykułów naukowych (m.in. Open Edition) i dążą do zamieszczania na nich swoich publikacji, także archiwalnych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by umiędzynarodowić dystrybucję i zwiększyć zakres odbiorców.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Prace te finansowane są ze środków Instytutu i wpływów z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grantów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i dotacji wydawniczych. </w:t>
      </w:r>
    </w:p>
    <w:p w:rsidR="00000000" w:rsidDel="00000000" w:rsidP="00000000" w:rsidRDefault="00000000" w:rsidRPr="00000000" w14:paraId="00000039">
      <w:pPr>
        <w:pageBreakBefore w:val="0"/>
        <w:numPr>
          <w:ilvl w:val="0"/>
          <w:numId w:val="1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Wydawnictwo i Czasopisma kierują się zasadami Komitetu ds. Etyki Publikacyjnej Committee of Publication Ethics (COPE), które wyznaczają standardy etyczne  komunikacji naukowej. Pełna treść Etyki wydawniczej znajduje się w Zał. nr 6 do Polityki.</w:t>
      </w:r>
    </w:p>
    <w:p w:rsidR="00000000" w:rsidDel="00000000" w:rsidP="00000000" w:rsidRDefault="00000000" w:rsidRPr="00000000" w14:paraId="0000003A">
      <w:pPr>
        <w:pageBreakBefore w:val="0"/>
        <w:numPr>
          <w:ilvl w:val="0"/>
          <w:numId w:val="1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Redakcja Czasopisma zobowiązana jest do wprowadzenia do dystrybucji wersji elektronicznej czasopisma w wolnym dostępie, oraz zarejestrowania Czasopisma do DOAJ (Directory of Open Access Journals), o ile platforma, na której pojawia się publikacja, nie czyni tego automatycznie. DOAJ jest międzynarodową bazą ułatwiającą wyszukanie recenzowanych czasopism naukowych, które są udostępnione w otwartym dostępie.</w:t>
      </w:r>
    </w:p>
    <w:p w:rsidR="00000000" w:rsidDel="00000000" w:rsidP="00000000" w:rsidRDefault="00000000" w:rsidRPr="00000000" w14:paraId="0000003B">
      <w:pPr>
        <w:pageBreakBefore w:val="0"/>
        <w:numPr>
          <w:ilvl w:val="0"/>
          <w:numId w:val="1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przypadku monografii i innych publikacji książkowych, Wydawnictwo zobowiązane jest do wprowadzenia ich do dystrybucji w wersjach elektronicznych w wolnym dostępie, a następnie zgłoszenie ich do DOAB (Directory of Open Access Books), o ile platforma, na której pojawia się publikacja, nie czyni tego automatycznie. DOAB jest międzynarodową bazą ułatwiającą wyszukanie recenzowanych książek naukowych, które są udostępnione w otwartym dostępie.</w:t>
      </w:r>
    </w:p>
    <w:p w:rsidR="00000000" w:rsidDel="00000000" w:rsidP="00000000" w:rsidRDefault="00000000" w:rsidRPr="00000000" w14:paraId="0000003C">
      <w:pPr>
        <w:pStyle w:val="Heading1"/>
        <w:pageBreakBefore w:val="0"/>
        <w:spacing w:before="200" w:line="48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pageBreakBefore w:val="0"/>
        <w:spacing w:before="200" w:line="48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1fob9te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§5. Dane badawcze</w:t>
      </w:r>
    </w:p>
    <w:p w:rsidR="00000000" w:rsidDel="00000000" w:rsidP="00000000" w:rsidRDefault="00000000" w:rsidRPr="00000000" w14:paraId="0000003E">
      <w:pPr>
        <w:pageBreakBefore w:val="0"/>
        <w:numPr>
          <w:ilvl w:val="0"/>
          <w:numId w:val="2"/>
        </w:numPr>
        <w:spacing w:before="200"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Pracownicy naukowi zbierają i tworzą dane badawcze oraz korzystają z nich  w trakcie swojej pracy. Informacje o tym, czym są dane badawcze w humanistyce i jak z nimi postępować zawiera załącznik nr 3. </w:t>
      </w:r>
    </w:p>
    <w:p w:rsidR="00000000" w:rsidDel="00000000" w:rsidP="00000000" w:rsidRDefault="00000000" w:rsidRPr="00000000" w14:paraId="0000003F">
      <w:pPr>
        <w:pageBreakBefore w:val="0"/>
        <w:numPr>
          <w:ilvl w:val="0"/>
          <w:numId w:val="2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Prawidłowe przechowywanie danych badawczych umożliwia sprawdzenie i replikację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uzyskanych wyników badań, a także ponowne wykorzystanie istniejących danych do innych analiz. </w:t>
      </w:r>
    </w:p>
    <w:p w:rsidR="00000000" w:rsidDel="00000000" w:rsidP="00000000" w:rsidRDefault="00000000" w:rsidRPr="00000000" w14:paraId="00000040">
      <w:pPr>
        <w:pageBreakBefore w:val="0"/>
        <w:numPr>
          <w:ilvl w:val="0"/>
          <w:numId w:val="2"/>
        </w:numPr>
        <w:spacing w:after="57" w:before="57"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Osoby dysponujące danymi badawczymi wykorzystywanymi w pracach naukowych  prowadzonych w Instytucie, dokładają wszelkich starań w celu zapewnienia otwartego dostępu do nich wraz z powiązanymi metadanymi, w szczególności poprzez: </w:t>
      </w:r>
    </w:p>
    <w:p w:rsidR="00000000" w:rsidDel="00000000" w:rsidP="00000000" w:rsidRDefault="00000000" w:rsidRPr="00000000" w14:paraId="00000041">
      <w:pPr>
        <w:pageBreakBefore w:val="0"/>
        <w:spacing w:after="57" w:before="57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 opracowanie Planu Zarządzania Danymi Badawczymi (Data Management Plan), określającego zasady zarządzania danymi w trakcie i po zakończeniu badań, precyzującego rodzaje danych zbieranych, przetwarzanych lub wytwarzanych w trakcie badań, określającego stosowane w odniesieniu do danych metodologie i standardy, a także zasady udostępniania danych, ich przechowywania w ramach projektu, oraz deponowania w Repozytorium i przekazywania do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Archiwum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 jego zakończeniu.; </w:t>
      </w:r>
    </w:p>
    <w:p w:rsidR="00000000" w:rsidDel="00000000" w:rsidP="00000000" w:rsidRDefault="00000000" w:rsidRPr="00000000" w14:paraId="00000042">
      <w:pPr>
        <w:pageBreakBefore w:val="0"/>
        <w:spacing w:after="57" w:before="57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 aktualizację Planu Zarządzania Danymi Badawczymi w trakcie trwania badań, o ile zachodzi taka konieczność; </w:t>
      </w:r>
    </w:p>
    <w:p w:rsidR="00000000" w:rsidDel="00000000" w:rsidP="00000000" w:rsidRDefault="00000000" w:rsidRPr="00000000" w14:paraId="00000043">
      <w:pPr>
        <w:pageBreakBefore w:val="0"/>
        <w:spacing w:after="57" w:before="57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c) zdeponowanie danych badawczych w Repozytorium. Rekomenduje się deponowanie również w innych wyspecjalizowanych repozytoriach, np. Repozytorium Otwartych Danych CeON, Zenodo;</w:t>
      </w:r>
    </w:p>
    <w:p w:rsidR="00000000" w:rsidDel="00000000" w:rsidP="00000000" w:rsidRDefault="00000000" w:rsidRPr="00000000" w14:paraId="00000044">
      <w:pPr>
        <w:pageBreakBefore w:val="0"/>
        <w:spacing w:after="57" w:before="57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d) jeśli to możliwe, zaleca się publiczne udostępnienie danych badawczych tak by każdy miał do nich dostęp w czasie i miejscu przez siebie wybranym bez ograniczeń prawnych, np. wraz z udzieleniem wolnej licencji.</w:t>
      </w:r>
    </w:p>
    <w:p w:rsidR="00000000" w:rsidDel="00000000" w:rsidP="00000000" w:rsidRDefault="00000000" w:rsidRPr="00000000" w14:paraId="00000045">
      <w:pPr>
        <w:pageBreakBefore w:val="0"/>
        <w:numPr>
          <w:ilvl w:val="0"/>
          <w:numId w:val="2"/>
        </w:numPr>
        <w:spacing w:before="200"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Zaleca się, by dane badawcze były zbierane, przechowywane i wykorzystywane zgodnie z międzynarodowym standardem FAIR Data. FAIR jest akronimem czterech wytycznych wobec danych:</w:t>
      </w:r>
    </w:p>
    <w:p w:rsidR="00000000" w:rsidDel="00000000" w:rsidP="00000000" w:rsidRDefault="00000000" w:rsidRPr="00000000" w14:paraId="00000046">
      <w:pPr>
        <w:pageBreakBefore w:val="0"/>
        <w:spacing w:before="200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“Findable” -- można je z łatwością wyszukać;</w:t>
      </w:r>
    </w:p>
    <w:p w:rsidR="00000000" w:rsidDel="00000000" w:rsidP="00000000" w:rsidRDefault="00000000" w:rsidRPr="00000000" w14:paraId="00000047">
      <w:pPr>
        <w:pageBreakBefore w:val="0"/>
        <w:spacing w:before="200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“Accessible” -- są dostępne dla wszystkich;</w:t>
      </w:r>
    </w:p>
    <w:p w:rsidR="00000000" w:rsidDel="00000000" w:rsidP="00000000" w:rsidRDefault="00000000" w:rsidRPr="00000000" w14:paraId="00000048">
      <w:pPr>
        <w:pageBreakBefore w:val="0"/>
        <w:spacing w:before="200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“Interoperable” -- można je połączyć z innymi danymi;</w:t>
      </w:r>
    </w:p>
    <w:p w:rsidR="00000000" w:rsidDel="00000000" w:rsidP="00000000" w:rsidRDefault="00000000" w:rsidRPr="00000000" w14:paraId="00000049">
      <w:pPr>
        <w:pageBreakBefore w:val="0"/>
        <w:spacing w:before="200" w:line="48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“Reusable” -- istnieje możliwość ich ponownego wykorzystania.</w:t>
      </w:r>
    </w:p>
    <w:p w:rsidR="00000000" w:rsidDel="00000000" w:rsidP="00000000" w:rsidRDefault="00000000" w:rsidRPr="00000000" w14:paraId="0000004A">
      <w:pPr>
        <w:pageBreakBefore w:val="0"/>
        <w:numPr>
          <w:ilvl w:val="0"/>
          <w:numId w:val="2"/>
        </w:numPr>
        <w:spacing w:before="200"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Dostęp do danych badawczych obejmuje również metadane.</w:t>
      </w:r>
    </w:p>
    <w:p w:rsidR="00000000" w:rsidDel="00000000" w:rsidP="00000000" w:rsidRDefault="00000000" w:rsidRPr="00000000" w14:paraId="0000004B">
      <w:pPr>
        <w:pageBreakBefore w:val="0"/>
        <w:numPr>
          <w:ilvl w:val="0"/>
          <w:numId w:val="2"/>
        </w:numPr>
        <w:spacing w:before="200"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Instrukcja oraz szczegółowe informacje dotyczące opracowania Planu Zarządzania Danymi Badawczymi znajdują się w Załączniku nr 3.</w:t>
      </w:r>
    </w:p>
    <w:p w:rsidR="00000000" w:rsidDel="00000000" w:rsidP="00000000" w:rsidRDefault="00000000" w:rsidRPr="00000000" w14:paraId="0000004C">
      <w:pPr>
        <w:pageBreakBefore w:val="0"/>
        <w:spacing w:line="48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1"/>
        <w:pageBreakBefore w:val="0"/>
        <w:spacing w:before="200" w:line="480" w:lineRule="auto"/>
        <w:jc w:val="both"/>
        <w:rPr>
          <w:rFonts w:ascii="Times New Roman" w:cs="Times New Roman" w:eastAsia="Times New Roman" w:hAnsi="Times New Roman"/>
          <w:strike w:val="1"/>
          <w:sz w:val="24"/>
          <w:szCs w:val="24"/>
        </w:rPr>
      </w:pPr>
      <w:bookmarkStart w:colFirst="0" w:colLast="0" w:name="_3znysh7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§6. Pełnomocniczka/Pełnomocnik ds. otwartej nauki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spacing w:after="60" w:before="6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IBL PAN działa Pełnomocnik do spraw otwartej nauki (dalej: Pełnomocnik), wyznaczony przez Dyrektora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Instytutu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F">
      <w:pPr>
        <w:pageBreakBefore w:val="0"/>
        <w:spacing w:after="60" w:before="6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Do zadań Pełnomocnika należy:</w:t>
      </w:r>
    </w:p>
    <w:p w:rsidR="00000000" w:rsidDel="00000000" w:rsidP="00000000" w:rsidRDefault="00000000" w:rsidRPr="00000000" w14:paraId="00000050">
      <w:pPr>
        <w:pageBreakBefore w:val="0"/>
        <w:spacing w:after="60" w:before="6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 informowanie o Polityce i popularyzacja otwartego dostępu w Instytucie;</w:t>
      </w:r>
    </w:p>
    <w:p w:rsidR="00000000" w:rsidDel="00000000" w:rsidP="00000000" w:rsidRDefault="00000000" w:rsidRPr="00000000" w14:paraId="00000051">
      <w:pPr>
        <w:pageBreakBefore w:val="0"/>
        <w:spacing w:after="60" w:before="6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 koordynacja działań związanych z prowadzeniem polityki otwartego dostępu w Instytucie (m. in. Repozytorium, otwarte dane zamieszczane przez pracowników Instytutu);</w:t>
      </w:r>
    </w:p>
    <w:p w:rsidR="00000000" w:rsidDel="00000000" w:rsidP="00000000" w:rsidRDefault="00000000" w:rsidRPr="00000000" w14:paraId="00000052">
      <w:pPr>
        <w:pageBreakBefore w:val="0"/>
        <w:spacing w:after="60" w:before="6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c) doradzanie w zakresie najlepszych praktyk zgodnych z Polityką;</w:t>
      </w:r>
    </w:p>
    <w:p w:rsidR="00000000" w:rsidDel="00000000" w:rsidP="00000000" w:rsidRDefault="00000000" w:rsidRPr="00000000" w14:paraId="00000053">
      <w:pPr>
        <w:pageBreakBefore w:val="0"/>
        <w:spacing w:after="60" w:before="60" w:line="48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2et92p0" w:id="4"/>
      <w:bookmarkEnd w:id="4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d) edukacja adresatów Polityki w zakresie otwartego dostępu do publikacji i danych badawczych;</w:t>
      </w:r>
    </w:p>
    <w:p w:rsidR="00000000" w:rsidDel="00000000" w:rsidP="00000000" w:rsidRDefault="00000000" w:rsidRPr="00000000" w14:paraId="00000054">
      <w:pPr>
        <w:pageBreakBefore w:val="0"/>
        <w:spacing w:after="60" w:before="6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e) pomoc pracownikom Instytutu w uzyskiwaniu zgody na upowszechnienie utworów publikowanych poza Instytutem w otwartym dostępie;</w:t>
      </w:r>
    </w:p>
    <w:p w:rsidR="00000000" w:rsidDel="00000000" w:rsidP="00000000" w:rsidRDefault="00000000" w:rsidRPr="00000000" w14:paraId="00000055">
      <w:pPr>
        <w:pageBreakBefore w:val="0"/>
        <w:spacing w:after="60" w:before="6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g) monitorowanie realizacji przyjętych założeń polityki otwartego dostępu w Instytucie;</w:t>
      </w:r>
    </w:p>
    <w:p w:rsidR="00000000" w:rsidDel="00000000" w:rsidP="00000000" w:rsidRDefault="00000000" w:rsidRPr="00000000" w14:paraId="00000056">
      <w:pPr>
        <w:pageBreakBefore w:val="0"/>
        <w:spacing w:after="60" w:before="6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h) doradzanie w sprawach związanych z tworzeniem i rozbudowywaniem infrastruktury cyfrowej w Instytucie w zakresie publikacji wyników badań i danych badawczych;</w:t>
      </w:r>
    </w:p>
    <w:p w:rsidR="00000000" w:rsidDel="00000000" w:rsidP="00000000" w:rsidRDefault="00000000" w:rsidRPr="00000000" w14:paraId="00000057">
      <w:pPr>
        <w:pageBreakBefore w:val="0"/>
        <w:spacing w:after="60" w:before="6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i) wypracowanie strategii i wprowadzanie działań służących jak najlepszemu wykorzystaniu cyfrowych zasobów Instytutu;</w:t>
      </w:r>
    </w:p>
    <w:p w:rsidR="00000000" w:rsidDel="00000000" w:rsidP="00000000" w:rsidRDefault="00000000" w:rsidRPr="00000000" w14:paraId="00000058">
      <w:pPr>
        <w:pageBreakBefore w:val="0"/>
        <w:spacing w:after="60" w:before="6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Pełnomocnik przedstawia Dyrekcji Instytutu raport na temat realizacji Polityki za poprzedni rok do końca pierwszego kwartału następnego roku i po uzyskaniu jego zatwierdzenia, publikuje go na stronie internetowej Instytutu.</w:t>
      </w:r>
    </w:p>
    <w:p w:rsidR="00000000" w:rsidDel="00000000" w:rsidP="00000000" w:rsidRDefault="00000000" w:rsidRPr="00000000" w14:paraId="00000059">
      <w:pPr>
        <w:pageBreakBefore w:val="0"/>
        <w:spacing w:before="20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spacing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spacing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Załączniki</w:t>
      </w:r>
    </w:p>
    <w:p w:rsidR="00000000" w:rsidDel="00000000" w:rsidP="00000000" w:rsidRDefault="00000000" w:rsidRPr="00000000" w14:paraId="0000005C">
      <w:pPr>
        <w:pageBreakBefore w:val="0"/>
        <w:numPr>
          <w:ilvl w:val="0"/>
          <w:numId w:val="6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Wzór formularza zgłoszeniowego do Repozytorium</w:t>
      </w:r>
    </w:p>
    <w:p w:rsidR="00000000" w:rsidDel="00000000" w:rsidP="00000000" w:rsidRDefault="00000000" w:rsidRPr="00000000" w14:paraId="0000005D">
      <w:pPr>
        <w:pageBreakBefore w:val="0"/>
        <w:numPr>
          <w:ilvl w:val="0"/>
          <w:numId w:val="6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Procedura deponowania publikacji w Repozytorium</w:t>
      </w:r>
    </w:p>
    <w:p w:rsidR="00000000" w:rsidDel="00000000" w:rsidP="00000000" w:rsidRDefault="00000000" w:rsidRPr="00000000" w14:paraId="0000005E">
      <w:pPr>
        <w:pageBreakBefore w:val="0"/>
        <w:numPr>
          <w:ilvl w:val="0"/>
          <w:numId w:val="6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Wskazówki dotyczące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z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arządzania danymi badawczymi</w:t>
      </w:r>
    </w:p>
    <w:p w:rsidR="00000000" w:rsidDel="00000000" w:rsidP="00000000" w:rsidRDefault="00000000" w:rsidRPr="00000000" w14:paraId="0000005F">
      <w:pPr>
        <w:pageBreakBefore w:val="0"/>
        <w:numPr>
          <w:ilvl w:val="0"/>
          <w:numId w:val="6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Zasady etyki wydawniczej Instytutu Badań Literackich Polskiej Akademii Nauk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