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B2AB9" w:rsidRDefault="00A51A4A">
      <w:pPr>
        <w:jc w:val="center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noProof/>
          <w:color w:val="000000"/>
          <w:sz w:val="20"/>
          <w:szCs w:val="20"/>
          <w:lang w:eastAsia="pl-PL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19495" cy="840740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" t="-10" r="-1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2AB9" w:rsidRDefault="00AB2AB9">
      <w:pPr>
        <w:jc w:val="center"/>
        <w:rPr>
          <w:rFonts w:ascii="Arial" w:hAnsi="Arial"/>
          <w:b/>
          <w:color w:val="000000"/>
          <w:sz w:val="20"/>
          <w:szCs w:val="20"/>
        </w:rPr>
      </w:pPr>
    </w:p>
    <w:p w:rsidR="00AB2AB9" w:rsidRDefault="00A51A4A">
      <w:pPr>
        <w:jc w:val="center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>Szczegółowy opis przedmiotu zamówienia</w:t>
      </w:r>
    </w:p>
    <w:p w:rsidR="00AB2AB9" w:rsidRDefault="00AB2AB9">
      <w:pPr>
        <w:jc w:val="center"/>
        <w:rPr>
          <w:rFonts w:ascii="Arial" w:hAnsi="Arial"/>
          <w:b/>
          <w:color w:val="000000"/>
          <w:sz w:val="20"/>
          <w:szCs w:val="20"/>
        </w:rPr>
      </w:pPr>
    </w:p>
    <w:p w:rsidR="00AB2AB9" w:rsidRDefault="00A51A4A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W opisie parametrów, o ile nie podano pełnej specyfikacji, występuje następujący typ systemu operacyjnego zainstalowanych na komputerach:</w:t>
      </w:r>
    </w:p>
    <w:p w:rsidR="00AB2AB9" w:rsidRDefault="00AB2AB9">
      <w:pPr>
        <w:rPr>
          <w:rFonts w:ascii="Arial" w:hAnsi="Arial"/>
          <w:color w:val="000000"/>
          <w:sz w:val="20"/>
          <w:szCs w:val="20"/>
        </w:rPr>
      </w:pPr>
    </w:p>
    <w:p w:rsidR="00AB2AB9" w:rsidRDefault="00A51A4A">
      <w:r>
        <w:rPr>
          <w:rFonts w:ascii="Arial" w:eastAsia="Arial" w:hAnsi="Arial"/>
          <w:color w:val="000000"/>
          <w:sz w:val="20"/>
          <w:szCs w:val="20"/>
        </w:rPr>
        <w:t xml:space="preserve">● </w:t>
      </w:r>
      <w:r>
        <w:rPr>
          <w:rFonts w:ascii="Arial" w:hAnsi="Arial"/>
          <w:i/>
          <w:iCs/>
          <w:color w:val="000000"/>
          <w:sz w:val="20"/>
          <w:szCs w:val="20"/>
          <w:u w:val="single"/>
        </w:rPr>
        <w:t>system operacyjny biurowy</w:t>
      </w:r>
      <w:r>
        <w:rPr>
          <w:rFonts w:ascii="Arial" w:hAnsi="Arial"/>
          <w:color w:val="000000"/>
          <w:sz w:val="20"/>
          <w:szCs w:val="20"/>
        </w:rPr>
        <w:t>:</w:t>
      </w:r>
    </w:p>
    <w:p w:rsidR="00AB2AB9" w:rsidRDefault="00A51A4A">
      <w:pPr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System operacyjny 64-bit w wersji polskiej, </w:t>
      </w:r>
      <w:r>
        <w:rPr>
          <w:rFonts w:ascii="Arial" w:hAnsi="Arial"/>
          <w:color w:val="000000"/>
          <w:sz w:val="20"/>
          <w:szCs w:val="20"/>
        </w:rPr>
        <w:t xml:space="preserve">np. MS Windows 10 (Home) lub równoważny – warunki równoważności: System operacyjny obsługujący architekturę x64. System musi umożliwiać instalację i obsługę oprogramowania biurowego oraz posiadanego przez Zamawiającego systemu DTP Kombi, pakietu biurowego </w:t>
      </w:r>
      <w:r>
        <w:rPr>
          <w:rFonts w:ascii="Arial" w:hAnsi="Arial"/>
          <w:color w:val="000000"/>
          <w:sz w:val="20"/>
          <w:szCs w:val="20"/>
        </w:rPr>
        <w:t xml:space="preserve">MS Office oraz programu OCR </w:t>
      </w:r>
      <w:proofErr w:type="spellStart"/>
      <w:r>
        <w:rPr>
          <w:rFonts w:ascii="Arial" w:hAnsi="Arial"/>
          <w:color w:val="000000"/>
          <w:sz w:val="20"/>
          <w:szCs w:val="20"/>
        </w:rPr>
        <w:t>Abbyy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/>
          <w:color w:val="000000"/>
          <w:sz w:val="20"/>
          <w:szCs w:val="20"/>
        </w:rPr>
        <w:t>FineReader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. Publicznie znany cykl życia systemu przedstawiony przez producenta i dotyczący rozwoju i wsparcia technicznego – w szczególności w zakresie bezpieczeństwa. Praca w różnych sieciach komputerowych (sieci lokalne </w:t>
      </w:r>
      <w:r>
        <w:rPr>
          <w:rFonts w:ascii="Arial" w:hAnsi="Arial"/>
          <w:color w:val="000000"/>
          <w:sz w:val="20"/>
          <w:szCs w:val="20"/>
        </w:rPr>
        <w:t>LAN, Internet), w tym także automatyczne rozpoznawanie sieci i ich ustawień bezpieczeństwa. Automatyczne rozpoznawanie urządzeń peryferyjnych działające w tej sieci (np. drukarki, tablice interaktywne, ekran zewnętrzny) oraz łączenie się automatycznie ze z</w:t>
      </w:r>
      <w:r>
        <w:rPr>
          <w:rFonts w:ascii="Arial" w:hAnsi="Arial"/>
          <w:color w:val="000000"/>
          <w:sz w:val="20"/>
          <w:szCs w:val="20"/>
        </w:rPr>
        <w:t xml:space="preserve">definiowanymi sieciami (również za pośrednictwem modemów 3G-5G/USB). Zamawiający dopuszcza zaoferowanie licencji zbiorczej lub jednostanowiskowej a także licencji na nowszą wersję systemu operacyjnego umożliwiającą wykorzystanie zainstalowanej wersji. Nie </w:t>
      </w:r>
      <w:r>
        <w:rPr>
          <w:rFonts w:ascii="Arial" w:hAnsi="Arial"/>
          <w:color w:val="000000"/>
          <w:sz w:val="20"/>
          <w:szCs w:val="20"/>
        </w:rPr>
        <w:t>dopuszcza się licencji pochodzących z rynku wtórnego.</w:t>
      </w:r>
    </w:p>
    <w:p w:rsidR="00AB2AB9" w:rsidRDefault="00AB2AB9">
      <w:pPr>
        <w:rPr>
          <w:rFonts w:ascii="Arial" w:hAnsi="Arial"/>
          <w:color w:val="000000"/>
          <w:sz w:val="20"/>
          <w:szCs w:val="20"/>
        </w:rPr>
      </w:pPr>
    </w:p>
    <w:p w:rsidR="00AB2AB9" w:rsidRDefault="00AB2AB9">
      <w:pPr>
        <w:rPr>
          <w:rFonts w:ascii="Arial" w:hAnsi="Arial"/>
          <w:color w:val="000000"/>
          <w:sz w:val="20"/>
          <w:szCs w:val="20"/>
        </w:rPr>
      </w:pPr>
    </w:p>
    <w:p w:rsidR="00AB2AB9" w:rsidRDefault="00AB2AB9">
      <w:pPr>
        <w:rPr>
          <w:rFonts w:ascii="Arial" w:hAnsi="Arial"/>
          <w:color w:val="000000"/>
          <w:sz w:val="20"/>
          <w:szCs w:val="20"/>
        </w:rPr>
      </w:pPr>
    </w:p>
    <w:p w:rsidR="00AB2AB9" w:rsidRDefault="00AB2AB9">
      <w:pPr>
        <w:rPr>
          <w:rFonts w:ascii="Arial" w:hAnsi="Arial"/>
          <w:color w:val="000000"/>
          <w:sz w:val="20"/>
          <w:szCs w:val="20"/>
        </w:rPr>
      </w:pPr>
    </w:p>
    <w:p w:rsidR="00AB2AB9" w:rsidRDefault="00A51A4A">
      <w:pPr>
        <w:rPr>
          <w:color w:val="FF0000"/>
          <w:u w:val="single"/>
        </w:rPr>
      </w:pPr>
      <w:r>
        <w:rPr>
          <w:color w:val="FF0000"/>
          <w:u w:val="single"/>
        </w:rPr>
        <w:t>CZĘŚĆ 1</w:t>
      </w:r>
    </w:p>
    <w:p w:rsidR="00AB2AB9" w:rsidRDefault="00A51A4A">
      <w:pPr>
        <w:rPr>
          <w:color w:val="FF0000"/>
        </w:rPr>
      </w:pPr>
      <w:r>
        <w:rPr>
          <w:color w:val="FF0000"/>
        </w:rPr>
        <w:t>Projekt „Słownik polszczyzny XVI wieku – edycja internetowa (</w:t>
      </w:r>
      <w:proofErr w:type="spellStart"/>
      <w:r>
        <w:rPr>
          <w:color w:val="FF0000"/>
        </w:rPr>
        <w:t>dygitalizacja</w:t>
      </w:r>
      <w:proofErr w:type="spellEnd"/>
      <w:r>
        <w:rPr>
          <w:color w:val="FF0000"/>
        </w:rPr>
        <w:t xml:space="preserve"> i uzupełnienie)” 11H 18 0030 87</w:t>
      </w:r>
    </w:p>
    <w:p w:rsidR="00AB2AB9" w:rsidRDefault="00AB2AB9">
      <w:pPr>
        <w:rPr>
          <w:color w:val="FF0000"/>
        </w:rPr>
      </w:pPr>
    </w:p>
    <w:p w:rsidR="00AB2AB9" w:rsidRDefault="00A51A4A">
      <w:r>
        <w:t>Specyfikacja: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2"/>
        <w:gridCol w:w="6797"/>
        <w:gridCol w:w="799"/>
      </w:tblGrid>
      <w:tr w:rsidR="00AB2AB9"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ADCF7"/>
          </w:tcPr>
          <w:p w:rsidR="00AB2AB9" w:rsidRDefault="00A51A4A">
            <w:pPr>
              <w:widowControl w:val="0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rodzaj sprzętu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ADCF7"/>
          </w:tcPr>
          <w:p w:rsidR="00AB2AB9" w:rsidRDefault="00A51A4A">
            <w:pPr>
              <w:widowControl w:val="0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parametry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ADCF7"/>
          </w:tcPr>
          <w:p w:rsidR="00AB2AB9" w:rsidRDefault="00A51A4A">
            <w:pPr>
              <w:widowControl w:val="0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ilość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laptop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CPU mobilny o wydajności </w:t>
            </w:r>
            <w:r>
              <w:rPr>
                <w:rFonts w:ascii="Arial" w:hAnsi="Arial"/>
                <w:sz w:val="20"/>
                <w:szCs w:val="20"/>
              </w:rPr>
              <w:t xml:space="preserve">potwierdzonej w teście benchmark min. 5100 pkt (CPU Mark – cpubenchmark.net); RAM min. 8 GB; SSD min. 256 GB; matryca o przekątnej 15,6" o rozdzielczości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FullHD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(1920x1080); s</w:t>
            </w:r>
            <w:r>
              <w:rPr>
                <w:rFonts w:ascii="Arial" w:hAnsi="Arial"/>
                <w:sz w:val="20"/>
                <w:szCs w:val="20"/>
                <w:u w:val="single"/>
              </w:rPr>
              <w:t>ystem operacyjny biurowy*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laptop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CPU mobilny o wydajności potwierdzonej w</w:t>
            </w:r>
            <w:r>
              <w:rPr>
                <w:rFonts w:ascii="Arial" w:hAnsi="Arial"/>
                <w:sz w:val="20"/>
                <w:szCs w:val="20"/>
              </w:rPr>
              <w:t xml:space="preserve"> teście benchmark min. 5100 pkt (CPU Mark – cpubenchmark.net); RAM min. 8 GB; SSD min. 256 GB; matryca o przekątnej około 14" o rozdzielczości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FullHD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(1920x1080); </w:t>
            </w:r>
            <w:r>
              <w:rPr>
                <w:rFonts w:ascii="Arial" w:hAnsi="Arial"/>
                <w:sz w:val="20"/>
                <w:szCs w:val="20"/>
                <w:u w:val="single"/>
              </w:rPr>
              <w:t>system operacyjny biurowy*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laptop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CPU mobilny o wydajności potwierdzonej w teście benchmark min. 6800 pkt (CPU Mark – cpubenchmark.net); RAM min. 16 GB; SSD min. 500 GB; matryca o przekątnej około 14" o rozdzielczości min.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FullHD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(1920x1080); </w:t>
            </w:r>
            <w:r>
              <w:rPr>
                <w:rFonts w:ascii="Arial" w:hAnsi="Arial"/>
                <w:sz w:val="20"/>
                <w:szCs w:val="20"/>
                <w:u w:val="single"/>
              </w:rPr>
              <w:t>system operacyjny biurowy*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serwer www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</w:t>
            </w:r>
            <w:r>
              <w:rPr>
                <w:rFonts w:ascii="Arial" w:hAnsi="Arial"/>
                <w:sz w:val="20"/>
                <w:szCs w:val="20"/>
              </w:rPr>
              <w:t>PU serwerowy o wydajności potwierdzonej w teście benchmark min. 7400 pkt (CPU Mark – cpubenchmark.net); RAM min. 16 GB; obudowa typu RACK 19"; bez pamięci masowej, możliwość instalacji min. 2 HDD 3,5"; interfejs LAN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serwer plików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CPU – architektura</w:t>
            </w:r>
            <w:r>
              <w:rPr>
                <w:rFonts w:ascii="Arial" w:hAnsi="Arial"/>
                <w:sz w:val="20"/>
                <w:szCs w:val="20"/>
              </w:rPr>
              <w:t xml:space="preserve"> 32-bit ARM wielordzeniowa o taktowaniu min. 1,7GHz; RAM min. 2 GB (rozszerzalna); pamięć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flash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min. 512MB (z ochroną systemu operacyjnego przed podwójnych rozruchem); min. 2 interfejsy LAN w standardzie 1000Base-T oraz min. jeden w standardzie 10GbE SPF+;</w:t>
            </w:r>
            <w:r>
              <w:rPr>
                <w:rFonts w:ascii="Arial" w:hAnsi="Arial"/>
                <w:sz w:val="20"/>
                <w:szCs w:val="20"/>
              </w:rPr>
              <w:t xml:space="preserve"> min. 4 porty USB 3.2; Możliwość instalacji min. 4 HDD 3,5" </w:t>
            </w:r>
            <w:r>
              <w:rPr>
                <w:rFonts w:ascii="Arial" w:hAnsi="Arial"/>
                <w:sz w:val="20"/>
                <w:szCs w:val="20"/>
              </w:rPr>
              <w:lastRenderedPageBreak/>
              <w:t xml:space="preserve">wymienialnych podczas pracy serwera; </w:t>
            </w:r>
          </w:p>
          <w:p w:rsidR="00AB2AB9" w:rsidRDefault="00A51A4A">
            <w:pPr>
              <w:widowControl w:val="0"/>
            </w:pPr>
            <w:r>
              <w:rPr>
                <w:rFonts w:ascii="Arial" w:hAnsi="Arial"/>
                <w:i/>
                <w:iCs/>
                <w:sz w:val="20"/>
                <w:szCs w:val="20"/>
                <w:u w:val="single"/>
              </w:rPr>
              <w:t>system operacyjny</w:t>
            </w:r>
            <w:r>
              <w:rPr>
                <w:rFonts w:ascii="Arial" w:hAnsi="Arial"/>
                <w:sz w:val="20"/>
                <w:szCs w:val="20"/>
              </w:rPr>
              <w:t xml:space="preserve">: NAS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(Network Access Server) administrowany przez sieć wewnętrzną LAN po zalogowaniu w szyfrowanym połączeniu SSH (możliwość dostępu z sieci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zewnętrznej); interfejs użytkownika HTML, możliwość obsługi wielu użytkowników oraz udostępniania danych w różnych protokołach (FTP, SMB, NFS itp.) i obsługi wielu urządzeń sieciowych (drukarki, kamery, multimedia itp.), możliwość instalacji aplikacji sie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ciowych rozszerzających funkcjonalność systemu.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1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dysk do serwera www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format 3,5”; pojemność 1TB; pamięć cache 64MB; prędkość obrotowa 5900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obr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./min; interfejs SATA III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dysk do serwera plików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format 3,5”; pojemność 4TB; pamięć cache 64MB; </w:t>
            </w:r>
            <w:r>
              <w:rPr>
                <w:rFonts w:ascii="Arial" w:hAnsi="Arial"/>
                <w:sz w:val="20"/>
                <w:szCs w:val="20"/>
              </w:rPr>
              <w:t xml:space="preserve">prędkość obrotowa 5900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obr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./min; interfejs SATA III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szafa serwerowa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typ RACK 19” stojąca; min. 15U 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zasilacz awaryjny UPS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obudowa RACK 19”; moc min. 650W/1000VA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switch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LAN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obudowa RACK 19”; 24 porty LAN (RJ45);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zarządzalny</w:t>
            </w:r>
            <w:proofErr w:type="spellEnd"/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panel wentylacyjny do szafy RACK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Pr="004429D8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 w:rsidRPr="004429D8">
              <w:rPr>
                <w:rFonts w:ascii="Arial" w:hAnsi="Arial"/>
                <w:sz w:val="20"/>
                <w:szCs w:val="20"/>
              </w:rPr>
              <w:t xml:space="preserve">rozmiar szafy RACK 19”; 4 wentylatory; </w:t>
            </w:r>
            <w:r w:rsidRPr="004429D8">
              <w:rPr>
                <w:rFonts w:ascii="Arial" w:hAnsi="Arial"/>
                <w:sz w:val="20"/>
                <w:szCs w:val="20"/>
              </w:rPr>
              <w:t>d</w:t>
            </w:r>
            <w:r w:rsidRPr="004429D8">
              <w:rPr>
                <w:rFonts w:ascii="Arial" w:hAnsi="Arial"/>
                <w:color w:val="000000"/>
                <w:kern w:val="0"/>
                <w:sz w:val="20"/>
                <w:szCs w:val="20"/>
              </w:rPr>
              <w:t>opuszcza się panel wentylacyjny wbudowany w szafę serwerową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listwa zasilająca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Pr="004429D8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 w:rsidRPr="004429D8">
              <w:rPr>
                <w:rFonts w:ascii="Arial" w:hAnsi="Arial"/>
                <w:sz w:val="20"/>
                <w:szCs w:val="20"/>
              </w:rPr>
              <w:t xml:space="preserve">format RACK 19”; antyprzepięciowa; min. 5 gniazd 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szt.</w:t>
            </w:r>
          </w:p>
        </w:tc>
        <w:bookmarkStart w:id="0" w:name="_GoBack"/>
        <w:bookmarkEnd w:id="0"/>
      </w:tr>
      <w:tr w:rsidR="00AB2AB9">
        <w:tc>
          <w:tcPr>
            <w:tcW w:w="2042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półka do szafy RACK</w:t>
            </w:r>
          </w:p>
        </w:tc>
        <w:tc>
          <w:tcPr>
            <w:tcW w:w="6797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Pr="004429D8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 w:rsidRPr="004429D8">
              <w:rPr>
                <w:rFonts w:ascii="Arial" w:hAnsi="Arial"/>
                <w:sz w:val="20"/>
                <w:szCs w:val="20"/>
              </w:rPr>
              <w:t xml:space="preserve">rozmiar szafy RACK 19”; </w:t>
            </w:r>
            <w:r w:rsidRPr="004429D8">
              <w:rPr>
                <w:rFonts w:ascii="Arial" w:hAnsi="Arial"/>
                <w:sz w:val="20"/>
                <w:szCs w:val="20"/>
              </w:rPr>
              <w:t>głębokość</w:t>
            </w:r>
            <w:r w:rsidRPr="004429D8">
              <w:rPr>
                <w:rFonts w:ascii="Arial" w:hAnsi="Arial"/>
                <w:sz w:val="20"/>
                <w:szCs w:val="20"/>
              </w:rPr>
              <w:t xml:space="preserve"> półki: </w:t>
            </w:r>
            <w:r w:rsidRPr="004429D8">
              <w:rPr>
                <w:rFonts w:ascii="Arial" w:hAnsi="Arial"/>
                <w:sz w:val="20"/>
                <w:szCs w:val="20"/>
              </w:rPr>
              <w:t>około</w:t>
            </w:r>
            <w:r w:rsidRPr="004429D8">
              <w:rPr>
                <w:rFonts w:ascii="Arial" w:hAnsi="Arial"/>
                <w:sz w:val="20"/>
                <w:szCs w:val="20"/>
              </w:rPr>
              <w:t xml:space="preserve"> 60 cm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 szt.</w:t>
            </w:r>
          </w:p>
        </w:tc>
      </w:tr>
    </w:tbl>
    <w:p w:rsidR="00AB2AB9" w:rsidRDefault="00AB2AB9">
      <w:pPr>
        <w:rPr>
          <w:b/>
        </w:rPr>
      </w:pPr>
    </w:p>
    <w:p w:rsidR="00AB2AB9" w:rsidRDefault="00AB2AB9">
      <w:pPr>
        <w:rPr>
          <w:b/>
        </w:rPr>
      </w:pPr>
    </w:p>
    <w:p w:rsidR="00AB2AB9" w:rsidRDefault="00A51A4A">
      <w:pPr>
        <w:rPr>
          <w:color w:val="FF0000"/>
          <w:u w:val="single"/>
        </w:rPr>
      </w:pPr>
      <w:r>
        <w:rPr>
          <w:color w:val="FF0000"/>
          <w:u w:val="single"/>
        </w:rPr>
        <w:t>CZĘŚĆ 2</w:t>
      </w:r>
    </w:p>
    <w:p w:rsidR="00AB2AB9" w:rsidRDefault="00A51A4A">
      <w:pPr>
        <w:rPr>
          <w:color w:val="FF0000"/>
        </w:rPr>
      </w:pPr>
      <w:r>
        <w:rPr>
          <w:color w:val="FF0000"/>
        </w:rPr>
        <w:t>Projekt „Cyfrowa infrastruktura badawcza dla humanistyki i nauk o sztuce DARIAH-PL” POIR.04.02.00-00-D006/20-00 – (środki unijne)</w:t>
      </w:r>
    </w:p>
    <w:p w:rsidR="00AB2AB9" w:rsidRDefault="00AB2AB9">
      <w:pPr>
        <w:rPr>
          <w:color w:val="FF0000"/>
        </w:rPr>
      </w:pPr>
    </w:p>
    <w:p w:rsidR="00AB2AB9" w:rsidRDefault="00A51A4A">
      <w:r>
        <w:t>Specyfikacja: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3"/>
        <w:gridCol w:w="6796"/>
        <w:gridCol w:w="799"/>
      </w:tblGrid>
      <w:tr w:rsidR="00AB2AB9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ADCF7"/>
          </w:tcPr>
          <w:p w:rsidR="00AB2AB9" w:rsidRDefault="00A51A4A">
            <w:pPr>
              <w:widowControl w:val="0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rodzaj sprzętu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ADCF7"/>
          </w:tcPr>
          <w:p w:rsidR="00AB2AB9" w:rsidRDefault="00A51A4A">
            <w:pPr>
              <w:widowControl w:val="0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parametry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ADCF7"/>
          </w:tcPr>
          <w:p w:rsidR="00AB2AB9" w:rsidRDefault="00A51A4A">
            <w:pPr>
              <w:widowControl w:val="0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ilość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zestaw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foto 1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aparat fotograficzny typu lustrzanka cyfrowa; matryca CMOS o rozdzielczości min. 20Mpix; mnożnik ogniskowej 1,5; pomiar światła matrycowy;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autofokus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min. 35 pól; wizjer optyczny; wyświetlacz LCD kolorowy obracany; czułość ISO 100-25600 lub większa;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balans bieli automatyczny i ręczny w zakresie 2500-10000K; wbudowana lampa błyskowa; samowyzwalacz; zdjęcia seryjne min. 5 klatek/s; filmowanie w rozdzielczości Full HD do 50p lub lepszej, filmy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poklatkowe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; wbudowany mikrofon stereo i możliwość podłączenia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zewnętrznego mikrofonu stereo; gniazdo mocowania lampy i akcesoriów; formaty zapisu zdjęć: NEF (RAW), JPEG z ustawieniem kompresji; zapis na karcie SD; złącza USB, HDMI, wejście i wyjście audio stereo mini-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jack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; możliwość sterowania zdalnego i połączenia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z urządzeniami mobilnymi przez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WiFi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bluetooth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; zasilanie: akumulator Li-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Ion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z ładowarką; w zestawie z obiektywem z systemem redukcji drgań i ogniskowej zmiennej o zakresie 18-100mm lub szerszym, kartą pamięci 64GB i plecakiem na sprzęt fotograficzny; zest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aw kompatybilny z zestawem foto 2 i obiektywami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kpl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zestaw foto 2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aparat fotograficzny typu lustrzanka cyfrowa; matryca CMOS o rozdzielczości min. 20Mpix; mnożnik ogniskowej 1,5; pomiar światła matrycowy;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autofokus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min. 10 pól; wizjer optyczny;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wyświetlacz LCD kolorowy obracany; czułość ISO 100-25600 lub większa; balans bieli automatyczny i ręczny; wbudowana lampa błyskowa; samowyzwalacz; zdjęcia seryjne; filmowanie Full HD, filmy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poklatkowe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; wbudowany mikrofon; gniazdo mocowania lampy i akcesori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ów; formaty zapisu zdjęć: NEF (RAW), JPEG; zapis na karcie SD; złącza USB, HDMI; możliwość sterowania zdalnego i połączenia z urządzeniami mobilnymi przez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WiFi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>bluetooth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4.1; zasilanie: akumulator Li-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Ion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z ładowarką; w zestawie z obiektywem, kartą pamięci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64GB oraz torbą na aparat i osprzęt; zestaw kompatybilny z zestawem foto 1 i obiektywami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 xml:space="preserve">1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kpl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lastRenderedPageBreak/>
              <w:t>zestaw video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kamera video – rozdzielczość 4K Ultra HD; matryca CMOS; jasność obiektywu od min. f/2,0; zoom optyczny min. 15x; zoom cyfrowy min. 150x; stabiliz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ator obrazu; automatyczny balans bieli; tryb robienia zdjęć; wyświetlacz LCD panoramiczny; wbudowany mikrofon z rejestracją dźwięku dookólnego; złącze HDMI, wejście mini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jack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stereo, USB; komunikacja przez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WiFi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i NFC; zapis na karcie SDHC/SDXC w formacie M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PEG4 (zapis zdjęć w formacie JPG); w zestawie z kartą pamięci 128GB o szybkim zapisie oraz plecakiem na kamerę i osprzęt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kpl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obiektyw portretowy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ogniskowa stała 85 mm lub zbliżona; przysłona f/1,8 lub zbliżona; do zastosowania w zestawach foto 1 i 2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szt.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obiektyw do przybliżeń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ogniskowa 70-300 mm lub zbliżona ze stabilizacją obrazu; przysłona f/4,5-6,3 lub zbliżona; do zastosowania w zestawach foto 1 i 2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lampa błyskowa do aparatu fotograficznego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regulacja mocy; funkcja redukcji czerwonych ocz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u; synchronizacja z długimi czasami naświetlania; błysk stroboskopowy; temperatura barwowa 5600K lub zbliżona; czas trwania błysku 1/200-1/20000; do zastosowania w zestawach foto 1 i 2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lampa LED o dużej jasności do nagrań video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powierzchnia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świecenia około 200x170 mm; moc świecenia około 2000 lumenów; regulowana moc i barwa światła w zakresie 3200-5500K lub zbliżonym; uchwyt ręczny oraz gwint statywowy; zasilacz sieciowy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lampa pierścieniowa LED z regulacją barwy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moc około 60W; płynna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regulacja mocy i barwy światła w zakresie 3000-6000K lub zbliżonym; możliwość montażu na statywie; regulacja kąta padania światła; zasilacz sieciowy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rejestrator dźwięku (zestaw)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przenośny rejestrator dźwięku; system wymiennych kapsuł mikrofonowych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(min. jedna w zestawie); 2 zewnętrzne wejścia mikrofonowe XLR/TRS; możliwość montażu na aparacie fotograficznym lub statywie; możliwość jednoczesnego nagrywania min. 4 ścieżek; jakość zapisywanego dźwięku do 24-bit/96kHz; zapis na karcie SD/SDHC w formacie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WAV lub MP3; w zestawie z kartą pamięci min. 32GB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kpl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mikrofon krawatowy (zestaw)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dyskretny mikrofon krawatowy ze złączem mini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jack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TRS; charakterystyka dookólna; klips mocujący i nakładana osłona typu pop-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filter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; impedancja wyjściowa 3kΩ; czułość min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. 35dB; zakres częstotliwości 20Hz–20kHz; w zestawie z przedłużaczem ekranowanym ze złączami mini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jack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TRS o długości min. 5 m oraz adapterem mini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jack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TRS na XLR męski z obsługą zasilania Phantom (dopuszcza się w zamian przedłużacz ekranowany o długości m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in. 5 m ze złączami mini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jack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TRS żeńskim i XLR męskim z obsługą zasilania Phantom)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kpl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statyw wysoki do aparatu/kamery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statyw rozkładany do wysokości ok. 160 cm; głowica 3D z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szybkozłączką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; obciążenie do 4 kg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 szt.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statyw stołowy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statyw stołowy o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wysokości ok. 20 cm; głowica nastawna dwukierunkowa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statyw oświetleniowy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płynna regulacja wysokości w zakresie 44-100cm lub zbliżonym; trzpień z gwintem 1⁄4”; obciążenie do 3 kg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 szt.</w:t>
            </w:r>
          </w:p>
        </w:tc>
      </w:tr>
    </w:tbl>
    <w:p w:rsidR="00AB2AB9" w:rsidRDefault="00AB2AB9">
      <w:pPr>
        <w:rPr>
          <w:b/>
        </w:rPr>
      </w:pPr>
    </w:p>
    <w:p w:rsidR="00AB2AB9" w:rsidRDefault="00AB2AB9">
      <w:pPr>
        <w:rPr>
          <w:b/>
        </w:rPr>
      </w:pPr>
    </w:p>
    <w:p w:rsidR="00AB2AB9" w:rsidRDefault="00A51A4A">
      <w:pPr>
        <w:rPr>
          <w:color w:val="FF0000"/>
          <w:u w:val="single"/>
        </w:rPr>
      </w:pPr>
      <w:r>
        <w:rPr>
          <w:color w:val="FF0000"/>
          <w:u w:val="single"/>
        </w:rPr>
        <w:t>CZĘŚĆ 3</w:t>
      </w:r>
    </w:p>
    <w:p w:rsidR="00AB2AB9" w:rsidRDefault="00A51A4A">
      <w:pPr>
        <w:rPr>
          <w:color w:val="FF0000"/>
        </w:rPr>
      </w:pPr>
      <w:r>
        <w:rPr>
          <w:color w:val="FF0000"/>
        </w:rPr>
        <w:t>Projekt „Cyfrowa infrastruktura badawcza dla humanis</w:t>
      </w:r>
      <w:r>
        <w:rPr>
          <w:color w:val="FF0000"/>
        </w:rPr>
        <w:t>tyki i nauk o sztuce DARIAH-PL”</w:t>
      </w:r>
    </w:p>
    <w:p w:rsidR="00AB2AB9" w:rsidRDefault="00A51A4A">
      <w:pPr>
        <w:rPr>
          <w:color w:val="FF0000"/>
        </w:rPr>
      </w:pPr>
      <w:r>
        <w:rPr>
          <w:color w:val="FF0000"/>
        </w:rPr>
        <w:t xml:space="preserve">POIR.04.02.00-00-D006/20-00 – (środki unijne) </w:t>
      </w:r>
    </w:p>
    <w:p w:rsidR="00AB2AB9" w:rsidRDefault="00AB2AB9">
      <w:pPr>
        <w:rPr>
          <w:color w:val="FF0000"/>
        </w:rPr>
      </w:pPr>
    </w:p>
    <w:p w:rsidR="00AB2AB9" w:rsidRDefault="00A51A4A">
      <w:r>
        <w:t>Specyfikacja: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3"/>
        <w:gridCol w:w="6796"/>
        <w:gridCol w:w="799"/>
      </w:tblGrid>
      <w:tr w:rsidR="00AB2AB9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ADCF7"/>
          </w:tcPr>
          <w:p w:rsidR="00AB2AB9" w:rsidRDefault="00A51A4A">
            <w:pPr>
              <w:widowControl w:val="0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lastRenderedPageBreak/>
              <w:t>rodzaj sprzętu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ADCF7"/>
          </w:tcPr>
          <w:p w:rsidR="00AB2AB9" w:rsidRDefault="00A51A4A">
            <w:pPr>
              <w:widowControl w:val="0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parametry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ADCF7"/>
          </w:tcPr>
          <w:p w:rsidR="00AB2AB9" w:rsidRDefault="00A51A4A">
            <w:pPr>
              <w:widowControl w:val="0"/>
              <w:rPr>
                <w:rFonts w:ascii="Arial" w:hAnsi="Arial"/>
                <w:b/>
                <w:bCs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sz w:val="21"/>
                <w:szCs w:val="21"/>
              </w:rPr>
              <w:t>ilość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skaner do fiszek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szybki skaner z podajnikiem do kartotek/fiszek; interfejs USB; układ optyczny CCD lub CIS; prędkość skanowania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min. 110 str./min; format dokumentu do 304,8x5030mm (tryb długiego dokumentu); podajnik na min. 500 ark.; rozdzielczość: optyczna min. 600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dpi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 xml:space="preserve">, zapisu do 600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dpi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; głębia kolorów we/wy: 48-bit/24-bit; skala szarości 8-bit; tryb automatycznego skanowania dwu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stronnego; formaty zapisu: PDF, JPEG, TIFF, BMP, RTF, PNG; kompatybilny z TWAIN/ISIS i Windows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 szt.</w:t>
            </w:r>
          </w:p>
        </w:tc>
      </w:tr>
      <w:tr w:rsidR="00AB2AB9">
        <w:tc>
          <w:tcPr>
            <w:tcW w:w="2043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skaner przenośny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</w:tcBorders>
          </w:tcPr>
          <w:p w:rsidR="00AB2AB9" w:rsidRDefault="00A51A4A">
            <w:pPr>
              <w:widowControl w:val="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przenośny skaner ręczny; typ skanera: szczelinowy; interfejs USB; układ optyczny CMOS CIS; rozdzielczość optyczna min. 600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dpi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; prędkość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skanowania min. 8 str./min; tryb skanowania dwustronnego; głębia kolorów 24-bit, skala szarości 8-bit; podajnik na min. 10 ark.; kompatybilny z TWAIN/ISIS i Windows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AB9" w:rsidRDefault="00A51A4A">
            <w:pPr>
              <w:pStyle w:val="Tekstpodstawowy"/>
              <w:widowControl w:val="0"/>
              <w:spacing w:after="0" w:line="288" w:lineRule="auto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 szt.</w:t>
            </w:r>
          </w:p>
        </w:tc>
      </w:tr>
    </w:tbl>
    <w:p w:rsidR="00AB2AB9" w:rsidRDefault="00AB2AB9"/>
    <w:sectPr w:rsidR="00AB2AB9">
      <w:headerReference w:type="default" r:id="rId7"/>
      <w:pgSz w:w="11906" w:h="16838"/>
      <w:pgMar w:top="1661" w:right="1134" w:bottom="1134" w:left="1134" w:header="1134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A4A" w:rsidRDefault="00A51A4A">
      <w:r>
        <w:separator/>
      </w:r>
    </w:p>
  </w:endnote>
  <w:endnote w:type="continuationSeparator" w:id="0">
    <w:p w:rsidR="00A51A4A" w:rsidRDefault="00A5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A4A" w:rsidRDefault="00A51A4A">
      <w:r>
        <w:separator/>
      </w:r>
    </w:p>
  </w:footnote>
  <w:footnote w:type="continuationSeparator" w:id="0">
    <w:p w:rsidR="00A51A4A" w:rsidRDefault="00A51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AB9" w:rsidRDefault="00A51A4A">
    <w:pPr>
      <w:jc w:val="right"/>
      <w:rPr>
        <w:rFonts w:ascii="Calibri" w:hAnsi="Calibri" w:cs="Calibri"/>
        <w:i/>
        <w:color w:val="000000"/>
        <w:sz w:val="20"/>
        <w:szCs w:val="20"/>
      </w:rPr>
    </w:pPr>
    <w:r>
      <w:rPr>
        <w:rFonts w:ascii="Calibri" w:hAnsi="Calibri" w:cs="Calibri"/>
        <w:i/>
        <w:color w:val="000000"/>
        <w:sz w:val="20"/>
        <w:szCs w:val="20"/>
      </w:rPr>
      <w:t xml:space="preserve">Załącznik </w:t>
    </w:r>
    <w:r>
      <w:rPr>
        <w:rFonts w:ascii="Calibri" w:hAnsi="Calibri" w:cs="Calibri"/>
        <w:i/>
        <w:color w:val="000000"/>
        <w:sz w:val="20"/>
        <w:szCs w:val="20"/>
      </w:rPr>
      <w:t>nr 2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2AB9"/>
    <w:rsid w:val="004429D8"/>
    <w:rsid w:val="00A51A4A"/>
    <w:rsid w:val="00AB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2A572-5A5D-4744-A938-94C73FE7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qFormat/>
    <w:rPr>
      <w:rFonts w:ascii="Tahoma" w:eastAsia="NSimSun" w:hAnsi="Tahoma" w:cs="Mangal"/>
      <w:kern w:val="2"/>
      <w:sz w:val="16"/>
      <w:szCs w:val="14"/>
      <w:lang w:eastAsia="zh-CN" w:bidi="hi-IN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eastAsia="NSimSun" w:cs="Mangal"/>
      <w:kern w:val="2"/>
      <w:szCs w:val="18"/>
      <w:lang w:eastAsia="zh-CN" w:bidi="hi-IN"/>
    </w:rPr>
  </w:style>
  <w:style w:type="character" w:customStyle="1" w:styleId="TematkomentarzaZnak">
    <w:name w:val="Temat komentarza Znak"/>
    <w:qFormat/>
    <w:rPr>
      <w:rFonts w:eastAsia="NSimSun" w:cs="Mangal"/>
      <w:b/>
      <w:bCs/>
      <w:kern w:val="2"/>
      <w:szCs w:val="18"/>
      <w:lang w:eastAsia="zh-CN" w:bidi="hi-IN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qFormat/>
    <w:rPr>
      <w:rFonts w:ascii="Tahoma" w:hAnsi="Tahoma" w:cs="Mangal"/>
      <w:sz w:val="16"/>
      <w:szCs w:val="14"/>
    </w:rPr>
  </w:style>
  <w:style w:type="paragraph" w:styleId="Tekstkomentarza">
    <w:name w:val="annotation text"/>
    <w:basedOn w:val="Normalny"/>
    <w:qFormat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7544</TotalTime>
  <Pages>4</Pages>
  <Words>1437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Opaliński</dc:creator>
  <dc:description/>
  <cp:lastModifiedBy>IBL</cp:lastModifiedBy>
  <cp:revision>11</cp:revision>
  <dcterms:created xsi:type="dcterms:W3CDTF">2022-02-02T15:25:00Z</dcterms:created>
  <dcterms:modified xsi:type="dcterms:W3CDTF">2022-06-29T11:04:00Z</dcterms:modified>
  <dc:language>pl-PL</dc:language>
</cp:coreProperties>
</file>